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i w:val="0"/>
          <w:color w:val="1F4E79"/>
          <w:sz w:val="36"/>
        </w:rPr>
        <w:t>Unit Rubric - Moons of the Land</w:t>
      </w:r>
    </w:p>
    <w:p>
      <w:pPr>
        <w:spacing w:after="200" w:before="0"/>
        <w:jc w:val="center"/>
      </w:pPr>
      <w:r>
        <w:rPr>
          <w:b w:val="0"/>
          <w:i/>
          <w:sz w:val="21"/>
        </w:rPr>
        <w:t>Grade 5/6 Arts Education  -  Moons of the Land</w:t>
      </w:r>
    </w:p>
    <w:p>
      <w:pPr>
        <w:spacing w:after="160" w:before="0"/>
      </w:pPr>
      <w:r>
        <w:rPr>
          <w:b w:val="0"/>
          <w:i/>
          <w:color w:val="666666"/>
          <w:sz w:val="20"/>
        </w:rPr>
        <w:t>Tied to the Arts Education curricular competencies. Circle or highlight the level that best fits.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22"/>
        <w:gridCol w:w="2822"/>
        <w:gridCol w:w="2822"/>
        <w:gridCol w:w="2822"/>
        <w:gridCol w:w="2822"/>
      </w:tblGrid>
      <w:tr>
        <w:tc>
          <w:tcPr>
            <w:tcW w:type="dxa" w:w="3888"/>
            <w:shd w:val="clear" w:color="auto" w:fill="EAF0F6"/>
            <w:vAlign w:val="top"/>
          </w:tcPr>
          <w:p>
            <w:r/>
            <w:r>
              <w:rPr>
                <w:b/>
                <w:color w:val="1F4E79"/>
                <w:sz w:val="21"/>
              </w:rPr>
              <w:t>Criterion (competency)</w:t>
            </w:r>
          </w:p>
        </w:tc>
        <w:tc>
          <w:tcPr>
            <w:tcW w:type="dxa" w:w="2736"/>
            <w:shd w:val="clear" w:color="auto" w:fill="EAF0F6"/>
            <w:vAlign w:val="top"/>
          </w:tcPr>
          <w:p>
            <w:r/>
            <w:r>
              <w:rPr>
                <w:b/>
                <w:color w:val="1F4E79"/>
                <w:sz w:val="21"/>
              </w:rPr>
              <w:t>Emerging (1)</w:t>
            </w:r>
          </w:p>
        </w:tc>
        <w:tc>
          <w:tcPr>
            <w:tcW w:type="dxa" w:w="2736"/>
            <w:shd w:val="clear" w:color="auto" w:fill="EAF0F6"/>
            <w:vAlign w:val="top"/>
          </w:tcPr>
          <w:p>
            <w:r/>
            <w:r>
              <w:rPr>
                <w:b/>
                <w:color w:val="1F4E79"/>
                <w:sz w:val="21"/>
              </w:rPr>
              <w:t>Developing (2)</w:t>
            </w:r>
          </w:p>
        </w:tc>
        <w:tc>
          <w:tcPr>
            <w:tcW w:type="dxa" w:w="2736"/>
            <w:shd w:val="clear" w:color="auto" w:fill="EAF0F6"/>
            <w:vAlign w:val="top"/>
          </w:tcPr>
          <w:p>
            <w:r/>
            <w:r>
              <w:rPr>
                <w:b/>
                <w:color w:val="1F4E79"/>
                <w:sz w:val="21"/>
              </w:rPr>
              <w:t>Proficient (3)</w:t>
            </w:r>
          </w:p>
        </w:tc>
        <w:tc>
          <w:tcPr>
            <w:tcW w:type="dxa" w:w="2736"/>
            <w:shd w:val="clear" w:color="auto" w:fill="EAF0F6"/>
            <w:vAlign w:val="top"/>
          </w:tcPr>
          <w:p>
            <w:r/>
            <w:r>
              <w:rPr>
                <w:b/>
                <w:color w:val="1F4E79"/>
                <w:sz w:val="21"/>
              </w:rPr>
              <w:t>Extending (4)</w:t>
            </w:r>
          </w:p>
        </w:tc>
      </w:tr>
      <w:tr>
        <w:tc>
          <w:tcPr>
            <w:tcW w:type="dxa" w:w="3888"/>
            <w:vAlign w:val="top"/>
          </w:tcPr>
          <w:p>
            <w:r/>
            <w:r>
              <w:rPr>
                <w:b/>
                <w:sz w:val="19"/>
              </w:rPr>
              <w:t>Idea and Seasons</w:t>
              <w:br/>
              <w:t>(explore place; symbolism)</w:t>
            </w:r>
          </w:p>
        </w:tc>
        <w:tc>
          <w:tcPr>
            <w:tcW w:type="dxa" w:w="2736"/>
            <w:vAlign w:val="top"/>
          </w:tcPr>
          <w:p>
            <w:r/>
            <w:r>
              <w:rPr>
                <w:b w:val="0"/>
                <w:sz w:val="18"/>
              </w:rPr>
              <w:t>Little connection to seasons or place.</w:t>
            </w:r>
          </w:p>
        </w:tc>
        <w:tc>
          <w:tcPr>
            <w:tcW w:type="dxa" w:w="2736"/>
            <w:vAlign w:val="top"/>
          </w:tcPr>
          <w:p>
            <w:r/>
            <w:r>
              <w:rPr>
                <w:b w:val="0"/>
                <w:sz w:val="18"/>
              </w:rPr>
              <w:t>A season is shown; the idea is general.</w:t>
            </w:r>
          </w:p>
        </w:tc>
        <w:tc>
          <w:tcPr>
            <w:tcW w:type="dxa" w:w="2736"/>
            <w:vAlign w:val="top"/>
          </w:tcPr>
          <w:p>
            <w:r/>
            <w:r>
              <w:rPr>
                <w:b w:val="0"/>
                <w:sz w:val="18"/>
              </w:rPr>
              <w:t>Panels clearly show seasons of the land where I live.</w:t>
            </w:r>
          </w:p>
        </w:tc>
        <w:tc>
          <w:tcPr>
            <w:tcW w:type="dxa" w:w="2736"/>
            <w:vAlign w:val="top"/>
          </w:tcPr>
          <w:p>
            <w:r/>
            <w:r>
              <w:rPr>
                <w:b w:val="0"/>
                <w:sz w:val="18"/>
              </w:rPr>
              <w:t>A rich, personal view of the seasons with thoughtful imagery.</w:t>
            </w:r>
          </w:p>
        </w:tc>
      </w:tr>
      <w:tr>
        <w:tc>
          <w:tcPr>
            <w:tcW w:type="dxa" w:w="3888"/>
            <w:vAlign w:val="top"/>
          </w:tcPr>
          <w:p>
            <w:r/>
            <w:r>
              <w:rPr>
                <w:b/>
                <w:sz w:val="19"/>
              </w:rPr>
              <w:t>Watercolour Technique</w:t>
              <w:br/>
              <w:t>(select and refine techniques)</w:t>
            </w:r>
          </w:p>
        </w:tc>
        <w:tc>
          <w:tcPr>
            <w:tcW w:type="dxa" w:w="2736"/>
            <w:vAlign w:val="top"/>
          </w:tcPr>
          <w:p>
            <w:r/>
            <w:r>
              <w:rPr>
                <w:b w:val="0"/>
                <w:sz w:val="18"/>
              </w:rPr>
              <w:t>Few techniques; muddy or unfinished.</w:t>
            </w:r>
          </w:p>
        </w:tc>
        <w:tc>
          <w:tcPr>
            <w:tcW w:type="dxa" w:w="2736"/>
            <w:vAlign w:val="top"/>
          </w:tcPr>
          <w:p>
            <w:r/>
            <w:r>
              <w:rPr>
                <w:b w:val="0"/>
                <w:sz w:val="18"/>
              </w:rPr>
              <w:t>Some washes; limited control of water and colour.</w:t>
            </w:r>
          </w:p>
        </w:tc>
        <w:tc>
          <w:tcPr>
            <w:tcW w:type="dxa" w:w="2736"/>
            <w:vAlign w:val="top"/>
          </w:tcPr>
          <w:p>
            <w:r/>
            <w:r>
              <w:rPr>
                <w:b w:val="0"/>
                <w:sz w:val="18"/>
              </w:rPr>
              <w:t>Uses washes, wet-on-wet, and layering with control.</w:t>
            </w:r>
          </w:p>
        </w:tc>
        <w:tc>
          <w:tcPr>
            <w:tcW w:type="dxa" w:w="2736"/>
            <w:vAlign w:val="top"/>
          </w:tcPr>
          <w:p>
            <w:r/>
            <w:r>
              <w:rPr>
                <w:b w:val="0"/>
                <w:sz w:val="18"/>
              </w:rPr>
              <w:t>Confident technique; strong value and layering.</w:t>
            </w:r>
          </w:p>
        </w:tc>
      </w:tr>
      <w:tr>
        <w:tc>
          <w:tcPr>
            <w:tcW w:type="dxa" w:w="3888"/>
            <w:vAlign w:val="top"/>
          </w:tcPr>
          <w:p>
            <w:r/>
            <w:r>
              <w:rPr>
                <w:b/>
                <w:sz w:val="19"/>
              </w:rPr>
              <w:t>The Series as a Set</w:t>
              <w:br/>
              <w:t>(balance, harmony, contrast)</w:t>
            </w:r>
          </w:p>
        </w:tc>
        <w:tc>
          <w:tcPr>
            <w:tcW w:type="dxa" w:w="2736"/>
            <w:vAlign w:val="top"/>
          </w:tcPr>
          <w:p>
            <w:r/>
            <w:r>
              <w:rPr>
                <w:b w:val="0"/>
                <w:sz w:val="18"/>
              </w:rPr>
              <w:t>Panels look unrelated.</w:t>
            </w:r>
          </w:p>
        </w:tc>
        <w:tc>
          <w:tcPr>
            <w:tcW w:type="dxa" w:w="2736"/>
            <w:vAlign w:val="top"/>
          </w:tcPr>
          <w:p>
            <w:r/>
            <w:r>
              <w:rPr>
                <w:b w:val="0"/>
                <w:sz w:val="18"/>
              </w:rPr>
              <w:t>Some shared colour or style.</w:t>
            </w:r>
          </w:p>
        </w:tc>
        <w:tc>
          <w:tcPr>
            <w:tcW w:type="dxa" w:w="2736"/>
            <w:vAlign w:val="top"/>
          </w:tcPr>
          <w:p>
            <w:r/>
            <w:r>
              <w:rPr>
                <w:b w:val="0"/>
                <w:sz w:val="18"/>
              </w:rPr>
              <w:t>Panels work together as a series.</w:t>
            </w:r>
          </w:p>
        </w:tc>
        <w:tc>
          <w:tcPr>
            <w:tcW w:type="dxa" w:w="2736"/>
            <w:vAlign w:val="top"/>
          </w:tcPr>
          <w:p>
            <w:r/>
            <w:r>
              <w:rPr>
                <w:b w:val="0"/>
                <w:sz w:val="18"/>
              </w:rPr>
              <w:t>A unified, well-composed series with clear contrast between seasons.</w:t>
            </w:r>
          </w:p>
        </w:tc>
      </w:tr>
      <w:tr>
        <w:tc>
          <w:tcPr>
            <w:tcW w:type="dxa" w:w="3888"/>
            <w:vAlign w:val="top"/>
          </w:tcPr>
          <w:p>
            <w:r/>
            <w:r>
              <w:rPr>
                <w:b/>
                <w:sz w:val="19"/>
              </w:rPr>
              <w:t>Artist Statement and Reflection</w:t>
              <w:br/>
              <w:t>(communicate; respond to art)</w:t>
            </w:r>
          </w:p>
        </w:tc>
        <w:tc>
          <w:tcPr>
            <w:tcW w:type="dxa" w:w="2736"/>
            <w:vAlign w:val="top"/>
          </w:tcPr>
          <w:p>
            <w:r/>
            <w:r>
              <w:rPr>
                <w:b w:val="0"/>
                <w:sz w:val="18"/>
              </w:rPr>
              <w:t>Statement missing or very brief.</w:t>
            </w:r>
          </w:p>
        </w:tc>
        <w:tc>
          <w:tcPr>
            <w:tcW w:type="dxa" w:w="2736"/>
            <w:vAlign w:val="top"/>
          </w:tcPr>
          <w:p>
            <w:r/>
            <w:r>
              <w:rPr>
                <w:b w:val="0"/>
                <w:sz w:val="18"/>
              </w:rPr>
              <w:t>Statement names a season or a moon.</w:t>
            </w:r>
          </w:p>
        </w:tc>
        <w:tc>
          <w:tcPr>
            <w:tcW w:type="dxa" w:w="2736"/>
            <w:vAlign w:val="top"/>
          </w:tcPr>
          <w:p>
            <w:r/>
            <w:r>
              <w:rPr>
                <w:b w:val="0"/>
                <w:sz w:val="18"/>
              </w:rPr>
              <w:t>Statement explains the moons, imagery, and techniques used.</w:t>
            </w:r>
          </w:p>
        </w:tc>
        <w:tc>
          <w:tcPr>
            <w:tcW w:type="dxa" w:w="2736"/>
            <w:vAlign w:val="top"/>
          </w:tcPr>
          <w:p>
            <w:r/>
            <w:r>
              <w:rPr>
                <w:b w:val="0"/>
                <w:sz w:val="18"/>
              </w:rPr>
              <w:t>Insightful statement; reflects on choices and others' work.</w:t>
            </w:r>
          </w:p>
        </w:tc>
      </w:tr>
    </w:tbl>
    <w:p>
      <w:pPr>
        <w:spacing w:after="80" w:before="160"/>
      </w:pPr>
      <w:r>
        <w:rPr>
          <w:b w:val="0"/>
          <w:i/>
          <w:color w:val="666666"/>
          <w:sz w:val="19"/>
        </w:rPr>
        <w:t>Grade 6 extension: layer for depth, control value across the series, and reflect on another artist's intent.</w:t>
      </w:r>
    </w:p>
    <w:p>
      <w:pPr>
        <w:spacing w:after="80" w:before="120"/>
      </w:pPr>
      <w:r>
        <w:rPr>
          <w:b w:val="0"/>
          <w:i w:val="0"/>
          <w:sz w:val="21"/>
        </w:rPr>
        <w:t>Name: __________________________     Overall (out of 16): ______     Comment: ______________________________</w:t>
      </w:r>
    </w:p>
    <w:sectPr w:rsidR="00FC693F" w:rsidRPr="0006063C" w:rsidSect="00034616">
      <w:pgSz w:w="15840" w:h="12240"/>
      <w:pgMar w:top="792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